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0F0" w:rsidRDefault="00BB693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9D30F0" w:rsidRDefault="009D3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D30F0" w:rsidRDefault="00BB69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9D30F0" w:rsidRDefault="00BB69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</w:t>
      </w:r>
    </w:p>
    <w:p w:rsidR="009D30F0" w:rsidRDefault="00BB69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«Содействие занятости населения Оренбургской области»</w:t>
      </w:r>
    </w:p>
    <w:p w:rsidR="009D30F0" w:rsidRDefault="00BB69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государственная программа)</w:t>
      </w:r>
    </w:p>
    <w:p w:rsidR="009D30F0" w:rsidRDefault="009D30F0">
      <w:pPr>
        <w:pStyle w:val="ConsPlusNormal"/>
        <w:spacing w:after="1"/>
        <w:jc w:val="center"/>
        <w:rPr>
          <w:sz w:val="28"/>
          <w:szCs w:val="28"/>
        </w:rPr>
      </w:pPr>
    </w:p>
    <w:tbl>
      <w:tblPr>
        <w:tblW w:w="9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9"/>
        <w:gridCol w:w="5953"/>
      </w:tblGrid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труда и занятости населения Оренбургской области (далее – МТиЗН)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2030 годы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</w:p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государственной программы</w:t>
            </w:r>
          </w:p>
        </w:tc>
        <w:tc>
          <w:tcPr>
            <w:tcW w:w="5953" w:type="dxa"/>
            <w:vAlign w:val="center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формирования культуры безопасного труда и повышение эффективно</w:t>
            </w:r>
            <w:r>
              <w:rPr>
                <w:sz w:val="28"/>
                <w:szCs w:val="28"/>
              </w:rPr>
              <w:t>сти мер, направленных на сохранение жизни и здоровья работников в процессе трудовой деятельности;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 роста уровня регистрируемой безработицы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содействия добровольному переселению в Оренбургскую область соотечественников, проживающих за рубежом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</w:t>
            </w:r>
          </w:p>
          <w:p w:rsidR="009D30F0" w:rsidRDefault="00BB6934">
            <w:pPr>
              <w:pStyle w:val="ConsPlusNormal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государственной программы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граждан из числа участников дополнительных мероприятий;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продолжающих осуществля</w:t>
            </w:r>
            <w:r>
              <w:rPr>
                <w:sz w:val="28"/>
                <w:szCs w:val="28"/>
              </w:rPr>
              <w:t>ть трудовую деятельность в течение одного года, в общей численности участников мероприятий по обучению;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сокращения среднего времени трудоустройства граждан, обратившихся в центры занятости населения за содействием в поиске подходящей работы;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регистрируемой безработицы                         (в среднегодовом исчислении);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работников, пострадавших в результате несчастных случаев на производстве с утратой трудоспособности на 1 рабочий день и более и со смертельным исходом, в р</w:t>
            </w:r>
            <w:r>
              <w:rPr>
                <w:sz w:val="28"/>
                <w:szCs w:val="28"/>
              </w:rPr>
              <w:t>асчете на 1000 работающих;</w:t>
            </w:r>
          </w:p>
          <w:p w:rsidR="009D30F0" w:rsidRDefault="00BB693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доля расходов МТиЗН, осуществляемых с применением программно-целевых 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>инструментов,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общем объеме расходов МТиЗН;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>
              <w:rPr>
                <w:sz w:val="28"/>
                <w:szCs w:val="28"/>
              </w:rPr>
              <w:t>оля расходов, направленных на меры государственной поддержки, социальные выплаты гражданам, содержание и материально-техническое обеспечение деятельности службы занятости населения, в общем объеме расходов;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допущенной просроченной кредиторской задолже</w:t>
            </w:r>
            <w:r>
              <w:rPr>
                <w:sz w:val="28"/>
                <w:szCs w:val="28"/>
              </w:rPr>
              <w:t>нности МТиЗН и подведомственных ему учреждений в общем объеме расходов МТиЗН и подведомственных ему учреждений;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организаций, охваченных коллективными договорами, в общем количестве организаций с численностью работающих более 15 человек;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</w:t>
            </w:r>
            <w:r>
              <w:rPr>
                <w:sz w:val="28"/>
                <w:szCs w:val="28"/>
              </w:rPr>
              <w:t>ность иностранных работников из стран с визовым режимом въезда в Российскую Федерацию, привлекаемых для осуществления трудовой деятельности на территории Оренбургской области;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подготовленных предложений по объемам квот на привлечение и использов</w:t>
            </w:r>
            <w:r>
              <w:rPr>
                <w:sz w:val="28"/>
                <w:szCs w:val="28"/>
              </w:rPr>
              <w:t>ание иностранных работников из стран с визовым режимом въезда в Российскую Федерацию;</w:t>
            </w:r>
          </w:p>
          <w:p w:rsidR="009D30F0" w:rsidRDefault="00BB6934">
            <w:pPr>
              <w:pStyle w:val="ConsPlusNormal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соотечественников, прибывших в Оренбургскую область и поставленных на учет в Управлении Министерства внутренних дел Российской Федерации по Оренбургской облас</w:t>
            </w:r>
            <w:r>
              <w:rPr>
                <w:sz w:val="28"/>
                <w:szCs w:val="28"/>
              </w:rPr>
              <w:t>ти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11 400 199,3 тыс. рублей, в том числе по годам реализации: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2023 год – 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</w:rPr>
              <w:t>1 320</w:t>
            </w:r>
            <w:r>
              <w:rPr>
                <w:color w:val="000000" w:themeColor="text1"/>
                <w:sz w:val="28"/>
                <w:szCs w:val="28"/>
              </w:rPr>
              <w:t xml:space="preserve"> 491,7 тыс. рублей;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 год – 1 606 716,5 тыс. рублей;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 год – 1 950 446,0 тыс. рубл</w:t>
            </w:r>
            <w:r>
              <w:rPr>
                <w:color w:val="000000" w:themeColor="text1"/>
                <w:sz w:val="28"/>
                <w:szCs w:val="28"/>
              </w:rPr>
              <w:t>ей;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 год – 1 320 055,1 тыс. рублей;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2027 год – 1 329 618,1 тыс. рублей;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2028 год – 1 290 957,3 тыс. рублей;</w:t>
            </w:r>
          </w:p>
          <w:p w:rsidR="009D30F0" w:rsidRDefault="00BB6934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2029 год – 1 290 957,3 тыс.</w:t>
            </w:r>
            <w:r>
              <w:rPr>
                <w:color w:val="000000" w:themeColor="text1"/>
                <w:sz w:val="28"/>
                <w:szCs w:val="28"/>
              </w:rPr>
              <w:t xml:space="preserve"> рублей;</w:t>
            </w:r>
          </w:p>
          <w:p w:rsidR="009D30F0" w:rsidRDefault="00BB6934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2030 год – 1 290 957,3  тыс. рублей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рамках национальной цели «Устойчивая и динамичная экономика» – показатель «обеспечение темпа роста валового внутреннего продукта страны выше среднемирового и выход </w:t>
            </w:r>
            <w:r>
              <w:rPr>
                <w:sz w:val="28"/>
                <w:szCs w:val="28"/>
              </w:rPr>
              <w:lastRenderedPageBreak/>
              <w:t>не позднее 2030 года на четвертое место в мире по объему валового внутреннего продукта, р</w:t>
            </w:r>
            <w:r>
              <w:rPr>
                <w:sz w:val="28"/>
                <w:szCs w:val="28"/>
              </w:rPr>
              <w:t>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безработицы»;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национальной цели «Реали</w:t>
            </w:r>
            <w:r>
              <w:rPr>
                <w:sz w:val="28"/>
                <w:szCs w:val="28"/>
              </w:rPr>
              <w:t>зация потенциала каждого человека, развитие его талантов, воспитание патриотичной и социально ответственной личности» – показатель «снижение уровня бедности ниже 7,0 процента к 2030 году и ниже 5,0 процента к 2036 году, в том числе уровня бедности многодет</w:t>
            </w:r>
            <w:r>
              <w:rPr>
                <w:sz w:val="28"/>
                <w:szCs w:val="28"/>
              </w:rPr>
              <w:t>ных семей до 12,0 процента к 2030 году и до 8,0 процента к 2036 году»;</w:t>
            </w:r>
          </w:p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рамках национальной цели «Сохранение населения, здоровье и благополучие людей» </w:t>
            </w:r>
            <w:r>
              <w:rPr>
                <w:sz w:val="28"/>
                <w:szCs w:val="28"/>
              </w:rPr>
              <w:t>–</w:t>
            </w:r>
            <w:r>
              <w:rPr>
                <w:rFonts w:eastAsia="Times New Roman"/>
                <w:sz w:val="28"/>
                <w:szCs w:val="28"/>
              </w:rPr>
              <w:t xml:space="preserve"> показатель «снижение уровня бедности в 2 раза по сравнению с показателем 2017 года»</w:t>
            </w:r>
          </w:p>
        </w:tc>
      </w:tr>
      <w:tr w:rsidR="009D30F0">
        <w:trPr>
          <w:jc w:val="center"/>
        </w:trPr>
        <w:tc>
          <w:tcPr>
            <w:tcW w:w="3859" w:type="dxa"/>
          </w:tcPr>
          <w:p w:rsidR="009D30F0" w:rsidRDefault="00BB693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Связь с иными гос</w:t>
            </w:r>
            <w:r>
              <w:rPr>
                <w:sz w:val="28"/>
                <w:szCs w:val="28"/>
              </w:rPr>
              <w:t>ударственными программами Оренбургской области</w:t>
            </w:r>
          </w:p>
        </w:tc>
        <w:tc>
          <w:tcPr>
            <w:tcW w:w="5953" w:type="dxa"/>
          </w:tcPr>
          <w:p w:rsidR="009D30F0" w:rsidRDefault="00BB693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– </w:t>
            </w:r>
          </w:p>
        </w:tc>
      </w:tr>
    </w:tbl>
    <w:p w:rsidR="009D30F0" w:rsidRDefault="009D30F0" w:rsidP="00BB6934">
      <w:pPr>
        <w:pStyle w:val="ConsPlusNormal"/>
        <w:jc w:val="both"/>
      </w:pPr>
    </w:p>
    <w:sectPr w:rsidR="009D30F0" w:rsidSect="00BB6934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0F0" w:rsidRDefault="00BB6934">
      <w:r>
        <w:separator/>
      </w:r>
    </w:p>
  </w:endnote>
  <w:endnote w:type="continuationSeparator" w:id="0">
    <w:p w:rsidR="009D30F0" w:rsidRDefault="00BB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Zen Hei Sharp">
    <w:charset w:val="00"/>
    <w:family w:val="auto"/>
    <w:pitch w:val="default"/>
  </w:font>
  <w:font w:name="Lohit Devanagar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0F0" w:rsidRDefault="00BB6934">
      <w:r>
        <w:separator/>
      </w:r>
    </w:p>
  </w:footnote>
  <w:footnote w:type="continuationSeparator" w:id="0">
    <w:p w:rsidR="009D30F0" w:rsidRDefault="00BB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435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6934" w:rsidRPr="00BB6934" w:rsidRDefault="00BB6934">
        <w:pPr>
          <w:pStyle w:val="af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69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69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B69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B69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B6934" w:rsidRPr="00BB6934" w:rsidRDefault="00BB6934">
    <w:pPr>
      <w:pStyle w:val="afc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F0"/>
    <w:rsid w:val="009D30F0"/>
    <w:rsid w:val="00BB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A7D20-93E3-4803-85D9-6B6C434EE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13">
    <w:name w:val="Заголовок1"/>
    <w:basedOn w:val="a"/>
    <w:next w:val="af5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  <w:lang w:eastAsia="zh-CN"/>
    </w:rPr>
  </w:style>
  <w:style w:type="paragraph" w:styleId="af5">
    <w:name w:val="Body Text"/>
    <w:basedOn w:val="a"/>
    <w:link w:val="af6"/>
    <w:uiPriority w:val="99"/>
    <w:semiHidden/>
    <w:unhideWhenUsed/>
    <w:pPr>
      <w:spacing w:after="120"/>
    </w:pPr>
    <w:rPr>
      <w:rFonts w:ascii="Times New Roman" w:eastAsiaTheme="minorHAnsi" w:hAnsi="Times New Roman"/>
      <w:sz w:val="20"/>
      <w:szCs w:val="20"/>
      <w:lang w:eastAsia="zh-CN"/>
    </w:rPr>
  </w:style>
  <w:style w:type="character" w:customStyle="1" w:styleId="af6">
    <w:name w:val="Основной текст Знак"/>
    <w:basedOn w:val="a0"/>
    <w:link w:val="af5"/>
    <w:uiPriority w:val="99"/>
    <w:semiHidden/>
  </w:style>
  <w:style w:type="paragraph" w:customStyle="1" w:styleId="af7">
    <w:name w:val="Содержимое таблицы"/>
    <w:basedOn w:val="a"/>
    <w:qFormat/>
    <w:pPr>
      <w:suppressLineNumber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Верхний и нижний колонтитулы"/>
    <w:basedOn w:val="a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4">
    <w:name w:val="index 1"/>
    <w:basedOn w:val="a"/>
    <w:next w:val="a"/>
    <w:uiPriority w:val="99"/>
    <w:semiHidden/>
    <w:unhideWhenUsed/>
    <w:pPr>
      <w:ind w:left="200" w:hanging="200"/>
    </w:pPr>
    <w:rPr>
      <w:rFonts w:ascii="Times New Roman" w:eastAsiaTheme="minorHAnsi" w:hAnsi="Times New Roman"/>
      <w:sz w:val="20"/>
      <w:szCs w:val="20"/>
      <w:lang w:eastAsia="zh-CN"/>
    </w:rPr>
  </w:style>
  <w:style w:type="paragraph" w:styleId="afa">
    <w:name w:val="index heading"/>
    <w:basedOn w:val="a"/>
    <w:qFormat/>
    <w:pPr>
      <w:suppressLineNumbers/>
    </w:pPr>
    <w:rPr>
      <w:rFonts w:ascii="Times New Roman" w:eastAsia="Times New Roman" w:hAnsi="Times New Roman" w:cs="Lohit Devanagari"/>
      <w:sz w:val="20"/>
      <w:szCs w:val="20"/>
      <w:lang w:eastAsia="zh-CN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ascii="Times New Roman" w:eastAsia="Times New Roman" w:hAnsi="Times New Roman" w:cs="Lohit Devanagari"/>
      <w:i/>
      <w:iCs/>
      <w:sz w:val="24"/>
      <w:szCs w:val="24"/>
      <w:lang w:eastAsia="zh-CN"/>
    </w:rPr>
  </w:style>
  <w:style w:type="paragraph" w:customStyle="1" w:styleId="ConsPlusNormal">
    <w:name w:val="ConsPlusNormal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eastAsiaTheme="minorEastAsia"/>
      <w:sz w:val="22"/>
      <w:lang w:eastAsia="ru-RU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eastAsiaTheme="minorEastAsia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Голованов Владимир Петрович</cp:lastModifiedBy>
  <cp:revision>23</cp:revision>
  <dcterms:created xsi:type="dcterms:W3CDTF">2025-10-21T10:57:00Z</dcterms:created>
  <dcterms:modified xsi:type="dcterms:W3CDTF">2025-10-31T07:14:00Z</dcterms:modified>
</cp:coreProperties>
</file>